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2BEE" w:rsidRDefault="00462BEE" w:rsidP="00462BEE">
      <w:pPr>
        <w:pStyle w:val="Ttulo1"/>
        <w:jc w:val="center"/>
      </w:pPr>
      <w:r>
        <w:t>Altavoces coaxiales</w:t>
      </w:r>
    </w:p>
    <w:p w:rsidR="00462BEE" w:rsidRDefault="00462BEE" w:rsidP="00462BEE">
      <w:pPr>
        <w:pStyle w:val="Ttulo1"/>
        <w:jc w:val="center"/>
      </w:pPr>
    </w:p>
    <w:p w:rsidR="00462BEE" w:rsidRDefault="00462BEE" w:rsidP="00462BEE">
      <w:pPr>
        <w:pStyle w:val="Ttulo1"/>
        <w:jc w:val="center"/>
      </w:pPr>
      <w:r>
        <w:t>BP215MCX new</w:t>
      </w:r>
    </w:p>
    <w:p w:rsidR="00462BEE" w:rsidRDefault="00462BEE" w:rsidP="00462BEE">
      <w:pPr>
        <w:pStyle w:val="Textbody"/>
      </w:pPr>
    </w:p>
    <w:p w:rsidR="00462BEE" w:rsidRDefault="00462BEE" w:rsidP="00462BEE">
      <w:pPr>
        <w:pStyle w:val="Textbody"/>
      </w:pPr>
      <w:r>
        <w:rPr>
          <w:noProof/>
        </w:rPr>
        <w:drawing>
          <wp:inline distT="0" distB="0" distL="0" distR="0" wp14:anchorId="091930A2" wp14:editId="266B64B6">
            <wp:extent cx="2381399" cy="3400560"/>
            <wp:effectExtent l="0" t="0" r="0" b="9390"/>
            <wp:docPr id="1" name="gráficos8" title="Coaxial &amp; Triaxial - BP215MC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5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399" cy="340056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62BEE" w:rsidRDefault="00462BEE" w:rsidP="00462BEE">
      <w:pPr>
        <w:pStyle w:val="Ttulo3"/>
      </w:pPr>
    </w:p>
    <w:p w:rsidR="00462BEE" w:rsidRDefault="00462BEE" w:rsidP="00462BEE">
      <w:pPr>
        <w:pStyle w:val="Textbody"/>
        <w:rPr>
          <w:b/>
          <w:color w:val="FF0000"/>
        </w:rPr>
      </w:pPr>
      <w:r>
        <w:rPr>
          <w:b/>
          <w:color w:val="FF0000"/>
        </w:rPr>
        <w:t>BP215MCX</w:t>
      </w:r>
    </w:p>
    <w:p w:rsidR="00462BEE" w:rsidRDefault="00462BEE" w:rsidP="00462BEE">
      <w:pPr>
        <w:pStyle w:val="Textbody"/>
      </w:pPr>
      <w:proofErr w:type="spellStart"/>
      <w:r>
        <w:t>Features</w:t>
      </w:r>
      <w:proofErr w:type="spellEnd"/>
      <w:r>
        <w:t>:</w:t>
      </w:r>
    </w:p>
    <w:p w:rsidR="00462BEE" w:rsidRDefault="00462BEE" w:rsidP="00462BEE">
      <w:pPr>
        <w:pStyle w:val="Textbody"/>
        <w:numPr>
          <w:ilvl w:val="0"/>
          <w:numId w:val="1"/>
        </w:numPr>
        <w:spacing w:after="0"/>
      </w:pPr>
      <w:r>
        <w:t>1500 W RMS</w:t>
      </w:r>
    </w:p>
    <w:p w:rsidR="00462BEE" w:rsidRDefault="00462BEE" w:rsidP="00462BEE">
      <w:pPr>
        <w:pStyle w:val="Textbody"/>
        <w:numPr>
          <w:ilvl w:val="0"/>
          <w:numId w:val="1"/>
        </w:numPr>
        <w:spacing w:after="0"/>
      </w:pPr>
      <w:r>
        <w:t xml:space="preserve">3-way Triaxial </w:t>
      </w:r>
      <w:proofErr w:type="spellStart"/>
      <w:r>
        <w:t>System</w:t>
      </w:r>
      <w:proofErr w:type="spellEnd"/>
    </w:p>
    <w:p w:rsidR="00462BEE" w:rsidRDefault="00462BEE" w:rsidP="00462BEE">
      <w:pPr>
        <w:pStyle w:val="Textbody"/>
        <w:numPr>
          <w:ilvl w:val="0"/>
          <w:numId w:val="1"/>
        </w:numPr>
        <w:spacing w:after="0"/>
      </w:pPr>
      <w:proofErr w:type="spellStart"/>
      <w:r>
        <w:t>Frequency</w:t>
      </w:r>
      <w:proofErr w:type="spellEnd"/>
      <w:r>
        <w:t xml:space="preserve"> response - 80Hz-22kHz</w:t>
      </w:r>
    </w:p>
    <w:p w:rsidR="00462BEE" w:rsidRDefault="00462BEE" w:rsidP="00462BEE">
      <w:pPr>
        <w:pStyle w:val="Textbody"/>
        <w:numPr>
          <w:ilvl w:val="0"/>
          <w:numId w:val="1"/>
        </w:numPr>
        <w:spacing w:after="0"/>
      </w:pPr>
      <w:proofErr w:type="spellStart"/>
      <w:r>
        <w:t>Three-amplified</w:t>
      </w:r>
      <w:proofErr w:type="spellEnd"/>
      <w:r>
        <w:t xml:space="preserve"> </w:t>
      </w:r>
      <w:proofErr w:type="spellStart"/>
      <w:r>
        <w:t>operation</w:t>
      </w:r>
      <w:proofErr w:type="spellEnd"/>
    </w:p>
    <w:p w:rsidR="00462BEE" w:rsidRPr="00674725" w:rsidRDefault="00462BEE" w:rsidP="00462BEE">
      <w:pPr>
        <w:pStyle w:val="Textbody"/>
        <w:numPr>
          <w:ilvl w:val="0"/>
          <w:numId w:val="1"/>
        </w:numPr>
        <w:rPr>
          <w:lang w:val="en-US"/>
        </w:rPr>
      </w:pPr>
      <w:r w:rsidRPr="00674725">
        <w:rPr>
          <w:lang w:val="en-US"/>
        </w:rPr>
        <w:t>Designed for PA, fixed installation and touring.</w:t>
      </w:r>
    </w:p>
    <w:p w:rsidR="00462BEE" w:rsidRPr="00674725" w:rsidRDefault="00462BEE" w:rsidP="00462BEE">
      <w:pPr>
        <w:pStyle w:val="Textbody"/>
        <w:rPr>
          <w:lang w:val="en-US"/>
        </w:rPr>
      </w:pPr>
      <w:r w:rsidRPr="00674725">
        <w:rPr>
          <w:lang w:val="en-US"/>
        </w:rPr>
        <w:t>The band pass design combined with two highly efficient 15" transducers produces an efficiency of 104 dB at 1 W / 1 m. A power rating of 1100 W RMS enables a sustained output of 134 dB to be maintained.</w:t>
      </w:r>
    </w:p>
    <w:p w:rsidR="00462BEE" w:rsidRPr="00674725" w:rsidRDefault="00462BEE" w:rsidP="00462BEE">
      <w:pPr>
        <w:pStyle w:val="Standard"/>
        <w:jc w:val="center"/>
        <w:rPr>
          <w:lang w:val="en-US"/>
        </w:rPr>
      </w:pPr>
    </w:p>
    <w:p w:rsidR="00462BEE" w:rsidRPr="00674725" w:rsidRDefault="00462BEE" w:rsidP="00462BEE">
      <w:pPr>
        <w:pStyle w:val="Textbody"/>
        <w:rPr>
          <w:lang w:val="en-US"/>
        </w:rPr>
      </w:pPr>
    </w:p>
    <w:p w:rsidR="00462BEE" w:rsidRDefault="00462BEE" w:rsidP="00462BEE">
      <w:pPr>
        <w:pStyle w:val="Ttulo1"/>
      </w:pPr>
      <w:r>
        <w:rPr>
          <w:b w:val="0"/>
          <w:bCs w:val="0"/>
        </w:rPr>
        <w:lastRenderedPageBreak/>
        <w:t xml:space="preserve">MCX115-1.5 </w:t>
      </w:r>
      <w:r>
        <w:rPr>
          <w:bCs w:val="0"/>
        </w:rPr>
        <w:t>new</w:t>
      </w:r>
    </w:p>
    <w:p w:rsidR="00462BEE" w:rsidRDefault="00462BEE" w:rsidP="00462BEE">
      <w:pPr>
        <w:pStyle w:val="Textbody"/>
      </w:pPr>
      <w:r>
        <w:rPr>
          <w:noProof/>
        </w:rPr>
        <w:drawing>
          <wp:inline distT="0" distB="0" distL="0" distR="0" wp14:anchorId="010353E4" wp14:editId="77B60706">
            <wp:extent cx="2381399" cy="2343240"/>
            <wp:effectExtent l="0" t="0" r="0" b="0"/>
            <wp:docPr id="2" name="gráficos9" title="Coaxial &amp; Triaxial - MCX115-1.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399" cy="23432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62BEE" w:rsidRDefault="00462BEE" w:rsidP="00462BEE">
      <w:pPr>
        <w:pStyle w:val="Ttulo3"/>
      </w:pPr>
    </w:p>
    <w:p w:rsidR="00462BEE" w:rsidRDefault="00462BEE" w:rsidP="00462BEE">
      <w:pPr>
        <w:pStyle w:val="Textbody"/>
      </w:pPr>
      <w:proofErr w:type="spellStart"/>
      <w:r>
        <w:t>Features</w:t>
      </w:r>
      <w:proofErr w:type="spellEnd"/>
      <w:r>
        <w:t>:</w:t>
      </w:r>
    </w:p>
    <w:p w:rsidR="00462BEE" w:rsidRPr="00674725" w:rsidRDefault="00462BEE" w:rsidP="00462BEE">
      <w:pPr>
        <w:pStyle w:val="Textbody"/>
        <w:numPr>
          <w:ilvl w:val="0"/>
          <w:numId w:val="2"/>
        </w:numPr>
        <w:spacing w:after="0"/>
        <w:rPr>
          <w:lang w:val="en-US"/>
        </w:rPr>
      </w:pPr>
      <w:r w:rsidRPr="00674725">
        <w:rPr>
          <w:lang w:val="en-US"/>
        </w:rPr>
        <w:t>Single point source system providing coherent wave front           </w:t>
      </w:r>
    </w:p>
    <w:p w:rsidR="00462BEE" w:rsidRDefault="00462BEE" w:rsidP="00462BEE">
      <w:pPr>
        <w:pStyle w:val="Textbody"/>
        <w:numPr>
          <w:ilvl w:val="0"/>
          <w:numId w:val="2"/>
        </w:numPr>
        <w:spacing w:after="0"/>
      </w:pPr>
      <w:proofErr w:type="gramStart"/>
      <w:r>
        <w:t>15”/</w:t>
      </w:r>
      <w:proofErr w:type="gramEnd"/>
      <w:r>
        <w:t>1.5” coaxial  </w:t>
      </w:r>
      <w:proofErr w:type="spellStart"/>
      <w:r>
        <w:t>loudspeaker</w:t>
      </w:r>
      <w:proofErr w:type="spellEnd"/>
    </w:p>
    <w:p w:rsidR="00462BEE" w:rsidRPr="00674725" w:rsidRDefault="00462BEE" w:rsidP="00462BEE">
      <w:pPr>
        <w:pStyle w:val="Textbody"/>
        <w:numPr>
          <w:ilvl w:val="0"/>
          <w:numId w:val="2"/>
        </w:numPr>
        <w:spacing w:after="0"/>
        <w:rPr>
          <w:lang w:val="en-US"/>
        </w:rPr>
      </w:pPr>
      <w:r w:rsidRPr="00674725">
        <w:rPr>
          <w:lang w:val="en-US"/>
        </w:rPr>
        <w:t>High power handling of 800w AES</w:t>
      </w:r>
    </w:p>
    <w:p w:rsidR="00462BEE" w:rsidRDefault="00462BEE" w:rsidP="00462BEE">
      <w:pPr>
        <w:pStyle w:val="Textbody"/>
        <w:numPr>
          <w:ilvl w:val="0"/>
          <w:numId w:val="2"/>
        </w:numPr>
        <w:spacing w:after="0"/>
      </w:pPr>
      <w:r>
        <w:t xml:space="preserve">70° </w:t>
      </w:r>
      <w:proofErr w:type="spellStart"/>
      <w:r>
        <w:t>conical</w:t>
      </w:r>
      <w:proofErr w:type="spellEnd"/>
      <w:r>
        <w:t xml:space="preserve"> </w:t>
      </w:r>
      <w:proofErr w:type="spellStart"/>
      <w:r>
        <w:t>Constant</w:t>
      </w:r>
      <w:proofErr w:type="spellEnd"/>
      <w:r>
        <w:t xml:space="preserve"> </w:t>
      </w:r>
      <w:proofErr w:type="spellStart"/>
      <w:r>
        <w:t>Directivity</w:t>
      </w:r>
      <w:proofErr w:type="spellEnd"/>
      <w:r>
        <w:t xml:space="preserve"> </w:t>
      </w:r>
      <w:proofErr w:type="spellStart"/>
      <w:r>
        <w:t>Coverage</w:t>
      </w:r>
      <w:proofErr w:type="spellEnd"/>
      <w:r>
        <w:t xml:space="preserve"> </w:t>
      </w:r>
      <w:proofErr w:type="spellStart"/>
      <w:r>
        <w:t>Horn</w:t>
      </w:r>
      <w:proofErr w:type="spellEnd"/>
    </w:p>
    <w:p w:rsidR="00462BEE" w:rsidRDefault="00462BEE" w:rsidP="00462BEE">
      <w:pPr>
        <w:pStyle w:val="Textbody"/>
        <w:numPr>
          <w:ilvl w:val="0"/>
          <w:numId w:val="2"/>
        </w:numPr>
        <w:spacing w:after="0"/>
      </w:pPr>
      <w:proofErr w:type="spellStart"/>
      <w:r>
        <w:t>Passive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bi-amp</w:t>
      </w:r>
      <w:proofErr w:type="spellEnd"/>
      <w:r>
        <w:t xml:space="preserve"> </w:t>
      </w:r>
      <w:proofErr w:type="spellStart"/>
      <w:r>
        <w:t>operation</w:t>
      </w:r>
      <w:proofErr w:type="spellEnd"/>
    </w:p>
    <w:p w:rsidR="00462BEE" w:rsidRPr="00674725" w:rsidRDefault="00462BEE" w:rsidP="00462BEE">
      <w:pPr>
        <w:pStyle w:val="Textbody"/>
        <w:numPr>
          <w:ilvl w:val="0"/>
          <w:numId w:val="2"/>
        </w:numPr>
        <w:rPr>
          <w:lang w:val="en-US"/>
        </w:rPr>
      </w:pPr>
      <w:r w:rsidRPr="00674725">
        <w:rPr>
          <w:lang w:val="en-US"/>
        </w:rPr>
        <w:t>Designed for both: PA, stage monitoring and touring</w:t>
      </w:r>
    </w:p>
    <w:p w:rsidR="00462BEE" w:rsidRPr="00674725" w:rsidRDefault="00462BEE" w:rsidP="00462BEE">
      <w:pPr>
        <w:pStyle w:val="Textbody"/>
        <w:rPr>
          <w:lang w:val="en-US"/>
        </w:rPr>
      </w:pPr>
      <w:r w:rsidRPr="00674725">
        <w:rPr>
          <w:lang w:val="en-US"/>
        </w:rPr>
        <w:t> </w:t>
      </w:r>
    </w:p>
    <w:p w:rsidR="00462BEE" w:rsidRDefault="00462BEE" w:rsidP="00462BEE">
      <w:pPr>
        <w:pStyle w:val="Textbody"/>
        <w:rPr>
          <w:sz w:val="36"/>
          <w:szCs w:val="36"/>
        </w:rPr>
      </w:pPr>
      <w:r w:rsidRPr="00674725">
        <w:rPr>
          <w:sz w:val="36"/>
          <w:szCs w:val="36"/>
          <w:lang w:val="en-US"/>
        </w:rPr>
        <w:t> </w:t>
      </w:r>
      <w:r>
        <w:rPr>
          <w:sz w:val="36"/>
          <w:szCs w:val="36"/>
        </w:rPr>
        <w:t xml:space="preserve">MCX115-2.0 </w:t>
      </w:r>
      <w:r>
        <w:rPr>
          <w:b/>
          <w:sz w:val="36"/>
          <w:szCs w:val="36"/>
        </w:rPr>
        <w:t>new</w:t>
      </w:r>
    </w:p>
    <w:p w:rsidR="00462BEE" w:rsidRDefault="00462BEE" w:rsidP="00462BEE">
      <w:pPr>
        <w:pStyle w:val="Textbody"/>
      </w:pPr>
    </w:p>
    <w:p w:rsidR="00462BEE" w:rsidRDefault="00462BEE" w:rsidP="00462BEE">
      <w:pPr>
        <w:pStyle w:val="Textbody"/>
      </w:pPr>
      <w:r>
        <w:rPr>
          <w:noProof/>
        </w:rPr>
        <w:drawing>
          <wp:inline distT="0" distB="0" distL="0" distR="0" wp14:anchorId="1D387009" wp14:editId="192EDC38">
            <wp:extent cx="2381399" cy="1790640"/>
            <wp:effectExtent l="0" t="0" r="0" b="60"/>
            <wp:docPr id="3" name="gráficos10" title="Coaxial &amp; Triaxial - MCX115-2.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399" cy="17906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62BEE" w:rsidRDefault="00462BEE" w:rsidP="00462BEE">
      <w:pPr>
        <w:pStyle w:val="Textbody"/>
        <w:rPr>
          <w:b/>
        </w:rPr>
      </w:pPr>
      <w:bookmarkStart w:id="0" w:name="_GoBack"/>
      <w:bookmarkEnd w:id="0"/>
      <w:proofErr w:type="spellStart"/>
      <w:r>
        <w:rPr>
          <w:b/>
        </w:rPr>
        <w:t>Features</w:t>
      </w:r>
      <w:proofErr w:type="spellEnd"/>
      <w:r>
        <w:rPr>
          <w:b/>
        </w:rPr>
        <w:t>:</w:t>
      </w:r>
    </w:p>
    <w:p w:rsidR="00462BEE" w:rsidRPr="00674725" w:rsidRDefault="00462BEE" w:rsidP="00462BEE">
      <w:pPr>
        <w:pStyle w:val="Textbody"/>
        <w:numPr>
          <w:ilvl w:val="0"/>
          <w:numId w:val="3"/>
        </w:numPr>
        <w:spacing w:after="0"/>
        <w:rPr>
          <w:lang w:val="en-US"/>
        </w:rPr>
      </w:pPr>
      <w:r w:rsidRPr="00674725">
        <w:rPr>
          <w:lang w:val="en-US"/>
        </w:rPr>
        <w:t>Triaxial point source system providing coherent wave front           </w:t>
      </w:r>
    </w:p>
    <w:p w:rsidR="00462BEE" w:rsidRDefault="00462BEE" w:rsidP="00462BEE">
      <w:pPr>
        <w:pStyle w:val="Textbody"/>
        <w:numPr>
          <w:ilvl w:val="0"/>
          <w:numId w:val="3"/>
        </w:numPr>
        <w:spacing w:after="0"/>
      </w:pPr>
      <w:proofErr w:type="gramStart"/>
      <w:r>
        <w:t>15”/</w:t>
      </w:r>
      <w:proofErr w:type="gramEnd"/>
      <w:r>
        <w:t>2” Coaxial  </w:t>
      </w:r>
      <w:proofErr w:type="spellStart"/>
      <w:r>
        <w:t>loudspeaker</w:t>
      </w:r>
      <w:proofErr w:type="spellEnd"/>
    </w:p>
    <w:p w:rsidR="00462BEE" w:rsidRDefault="00462BEE" w:rsidP="00462BEE">
      <w:pPr>
        <w:pStyle w:val="Textbody"/>
        <w:numPr>
          <w:ilvl w:val="0"/>
          <w:numId w:val="3"/>
        </w:numPr>
        <w:spacing w:after="0"/>
      </w:pPr>
      <w:r>
        <w:t xml:space="preserve">High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handling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880w</w:t>
      </w:r>
    </w:p>
    <w:p w:rsidR="00462BEE" w:rsidRDefault="00462BEE" w:rsidP="00462BEE">
      <w:pPr>
        <w:pStyle w:val="Textbody"/>
        <w:numPr>
          <w:ilvl w:val="0"/>
          <w:numId w:val="3"/>
        </w:numPr>
        <w:spacing w:after="0"/>
      </w:pPr>
      <w:r>
        <w:t xml:space="preserve">60° </w:t>
      </w:r>
      <w:proofErr w:type="spellStart"/>
      <w:r>
        <w:t>conical</w:t>
      </w:r>
      <w:proofErr w:type="spellEnd"/>
      <w:r>
        <w:t xml:space="preserve"> </w:t>
      </w:r>
      <w:proofErr w:type="spellStart"/>
      <w:r>
        <w:t>Constant</w:t>
      </w:r>
      <w:proofErr w:type="spellEnd"/>
      <w:r>
        <w:t xml:space="preserve"> </w:t>
      </w:r>
      <w:proofErr w:type="spellStart"/>
      <w:r>
        <w:t>Directivity</w:t>
      </w:r>
      <w:proofErr w:type="spellEnd"/>
      <w:r>
        <w:t xml:space="preserve"> </w:t>
      </w:r>
      <w:proofErr w:type="spellStart"/>
      <w:r>
        <w:t>Coverage</w:t>
      </w:r>
      <w:proofErr w:type="spellEnd"/>
      <w:r>
        <w:t xml:space="preserve"> </w:t>
      </w:r>
      <w:proofErr w:type="spellStart"/>
      <w:r>
        <w:t>Horn</w:t>
      </w:r>
      <w:proofErr w:type="spellEnd"/>
    </w:p>
    <w:p w:rsidR="00462BEE" w:rsidRDefault="00462BEE" w:rsidP="00462BEE">
      <w:pPr>
        <w:pStyle w:val="Textbody"/>
        <w:numPr>
          <w:ilvl w:val="0"/>
          <w:numId w:val="3"/>
        </w:numPr>
        <w:spacing w:after="0"/>
      </w:pPr>
      <w:proofErr w:type="spellStart"/>
      <w:r>
        <w:t>Superb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</w:t>
      </w:r>
      <w:proofErr w:type="spellStart"/>
      <w:r>
        <w:t>sound</w:t>
      </w:r>
      <w:proofErr w:type="spellEnd"/>
    </w:p>
    <w:p w:rsidR="00462BEE" w:rsidRPr="00674725" w:rsidRDefault="00462BEE" w:rsidP="00462BEE">
      <w:pPr>
        <w:pStyle w:val="Textbody"/>
        <w:numPr>
          <w:ilvl w:val="0"/>
          <w:numId w:val="3"/>
        </w:numPr>
        <w:rPr>
          <w:lang w:val="en-US"/>
        </w:rPr>
      </w:pPr>
      <w:r w:rsidRPr="00674725">
        <w:rPr>
          <w:lang w:val="en-US"/>
        </w:rPr>
        <w:t>Designed for both:  PA and stage monitoring</w:t>
      </w:r>
    </w:p>
    <w:p w:rsidR="00462BEE" w:rsidRPr="00674725" w:rsidRDefault="00462BEE" w:rsidP="00462BEE">
      <w:pPr>
        <w:pStyle w:val="Textbody"/>
        <w:rPr>
          <w:lang w:val="en-US"/>
        </w:rPr>
      </w:pPr>
    </w:p>
    <w:p w:rsidR="00462BEE" w:rsidRDefault="00462BEE" w:rsidP="00462BEE">
      <w:pPr>
        <w:pStyle w:val="Ttulo1"/>
        <w:rPr>
          <w:b w:val="0"/>
          <w:bCs w:val="0"/>
        </w:rPr>
      </w:pPr>
      <w:r>
        <w:rPr>
          <w:b w:val="0"/>
          <w:bCs w:val="0"/>
        </w:rPr>
        <w:lastRenderedPageBreak/>
        <w:t xml:space="preserve">TCX118 </w:t>
      </w:r>
      <w:r>
        <w:rPr>
          <w:bCs w:val="0"/>
        </w:rPr>
        <w:t>new</w:t>
      </w:r>
    </w:p>
    <w:p w:rsidR="00462BEE" w:rsidRDefault="00462BEE" w:rsidP="00462BEE">
      <w:pPr>
        <w:pStyle w:val="Textbody"/>
      </w:pPr>
    </w:p>
    <w:p w:rsidR="00462BEE" w:rsidRDefault="00462BEE" w:rsidP="00462BEE">
      <w:pPr>
        <w:pStyle w:val="Textbody"/>
      </w:pPr>
      <w:r>
        <w:rPr>
          <w:noProof/>
        </w:rPr>
        <w:drawing>
          <wp:inline distT="0" distB="0" distL="0" distR="0" wp14:anchorId="35C306BE" wp14:editId="15E67BEC">
            <wp:extent cx="1476360" cy="1790640"/>
            <wp:effectExtent l="0" t="0" r="0" b="60"/>
            <wp:docPr id="4" name="gráficos11" title="Coaxial &amp; Triaxial - TCX1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link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6360" cy="179064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462BEE" w:rsidRDefault="00462BEE" w:rsidP="00462BEE">
      <w:pPr>
        <w:pStyle w:val="Ttulo3"/>
        <w:rPr>
          <w:color w:val="FF0000"/>
        </w:rPr>
      </w:pPr>
    </w:p>
    <w:p w:rsidR="00462BEE" w:rsidRDefault="00462BEE" w:rsidP="00462BEE">
      <w:pPr>
        <w:pStyle w:val="Textbody"/>
        <w:rPr>
          <w:b/>
        </w:rPr>
      </w:pPr>
      <w:proofErr w:type="spellStart"/>
      <w:r>
        <w:rPr>
          <w:b/>
        </w:rPr>
        <w:t>Features</w:t>
      </w:r>
      <w:proofErr w:type="spellEnd"/>
      <w:r>
        <w:rPr>
          <w:b/>
        </w:rPr>
        <w:t>:</w:t>
      </w:r>
    </w:p>
    <w:p w:rsidR="00462BEE" w:rsidRPr="00674725" w:rsidRDefault="00462BEE" w:rsidP="00462BEE">
      <w:pPr>
        <w:pStyle w:val="Textbody"/>
        <w:numPr>
          <w:ilvl w:val="0"/>
          <w:numId w:val="4"/>
        </w:numPr>
        <w:spacing w:after="0"/>
        <w:rPr>
          <w:lang w:val="en-US"/>
        </w:rPr>
      </w:pPr>
      <w:r w:rsidRPr="00674725">
        <w:rPr>
          <w:lang w:val="en-US"/>
        </w:rPr>
        <w:t>Single point source system providing coherent wave front           </w:t>
      </w:r>
    </w:p>
    <w:p w:rsidR="00462BEE" w:rsidRDefault="00462BEE" w:rsidP="00462BEE">
      <w:pPr>
        <w:pStyle w:val="Textbody"/>
        <w:numPr>
          <w:ilvl w:val="0"/>
          <w:numId w:val="4"/>
        </w:numPr>
        <w:spacing w:after="0"/>
      </w:pPr>
      <w:proofErr w:type="gramStart"/>
      <w:r>
        <w:t>18”/</w:t>
      </w:r>
      <w:proofErr w:type="gramEnd"/>
      <w:r>
        <w:t>2” coaxial  </w:t>
      </w:r>
      <w:proofErr w:type="spellStart"/>
      <w:r>
        <w:t>loudspeaker</w:t>
      </w:r>
      <w:proofErr w:type="spellEnd"/>
    </w:p>
    <w:p w:rsidR="00462BEE" w:rsidRDefault="00462BEE" w:rsidP="00462BEE">
      <w:pPr>
        <w:pStyle w:val="Textbody"/>
        <w:numPr>
          <w:ilvl w:val="0"/>
          <w:numId w:val="4"/>
        </w:numPr>
        <w:spacing w:after="0"/>
      </w:pPr>
      <w:r>
        <w:t xml:space="preserve">High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handling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1000w</w:t>
      </w:r>
    </w:p>
    <w:p w:rsidR="00462BEE" w:rsidRDefault="00462BEE" w:rsidP="00462BEE">
      <w:pPr>
        <w:pStyle w:val="Textbody"/>
        <w:numPr>
          <w:ilvl w:val="0"/>
          <w:numId w:val="4"/>
        </w:numPr>
        <w:spacing w:after="0"/>
      </w:pPr>
      <w:r>
        <w:t>90° x 40° </w:t>
      </w:r>
      <w:proofErr w:type="spellStart"/>
      <w:r>
        <w:t>Constant</w:t>
      </w:r>
      <w:proofErr w:type="spellEnd"/>
      <w:r>
        <w:t xml:space="preserve"> </w:t>
      </w:r>
      <w:proofErr w:type="spellStart"/>
      <w:r>
        <w:t>Directivity</w:t>
      </w:r>
      <w:proofErr w:type="spellEnd"/>
      <w:r>
        <w:t xml:space="preserve"> </w:t>
      </w:r>
      <w:proofErr w:type="spellStart"/>
      <w:r>
        <w:t>Coverage</w:t>
      </w:r>
      <w:proofErr w:type="spellEnd"/>
      <w:r>
        <w:t xml:space="preserve"> </w:t>
      </w:r>
      <w:proofErr w:type="spellStart"/>
      <w:r>
        <w:t>Horn</w:t>
      </w:r>
      <w:proofErr w:type="spellEnd"/>
    </w:p>
    <w:p w:rsidR="00462BEE" w:rsidRDefault="00462BEE" w:rsidP="00462BEE">
      <w:pPr>
        <w:pStyle w:val="Textbody"/>
        <w:numPr>
          <w:ilvl w:val="0"/>
          <w:numId w:val="4"/>
        </w:numPr>
        <w:spacing w:after="0"/>
      </w:pPr>
      <w:proofErr w:type="spellStart"/>
      <w:r>
        <w:t>Superb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</w:t>
      </w:r>
      <w:proofErr w:type="spellStart"/>
      <w:r>
        <w:t>sound</w:t>
      </w:r>
      <w:proofErr w:type="spellEnd"/>
    </w:p>
    <w:p w:rsidR="00462BEE" w:rsidRDefault="00462BEE" w:rsidP="00462BEE">
      <w:pPr>
        <w:pStyle w:val="Textbody"/>
        <w:numPr>
          <w:ilvl w:val="0"/>
          <w:numId w:val="4"/>
        </w:numPr>
      </w:pPr>
      <w:proofErr w:type="spellStart"/>
      <w:r>
        <w:t>Designed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both</w:t>
      </w:r>
      <w:proofErr w:type="spellEnd"/>
      <w:r>
        <w:t>: PA</w:t>
      </w:r>
    </w:p>
    <w:p w:rsidR="00462BEE" w:rsidRPr="00674725" w:rsidRDefault="00462BEE" w:rsidP="00462BEE">
      <w:pPr>
        <w:pStyle w:val="Textbody"/>
        <w:spacing w:after="0"/>
        <w:rPr>
          <w:lang w:val="en-US"/>
        </w:rPr>
      </w:pPr>
      <w:r w:rsidRPr="00674725">
        <w:rPr>
          <w:lang w:val="en-US"/>
        </w:rPr>
        <w:t xml:space="preserve">The Clear </w:t>
      </w:r>
      <w:proofErr w:type="gramStart"/>
      <w:r w:rsidRPr="00674725">
        <w:rPr>
          <w:lang w:val="en-US"/>
        </w:rPr>
        <w:t>Sound  TCX</w:t>
      </w:r>
      <w:proofErr w:type="gramEnd"/>
      <w:r w:rsidRPr="00674725">
        <w:rPr>
          <w:lang w:val="en-US"/>
        </w:rPr>
        <w:t xml:space="preserve">118 is a full range 3-way Triaxial  loudspeaker system that features a high power 18" cone driver and a 2" coaxial  driver coupled to a 90° x 40° waveguide. As a </w:t>
      </w:r>
      <w:proofErr w:type="gramStart"/>
      <w:r w:rsidRPr="00674725">
        <w:rPr>
          <w:lang w:val="en-US"/>
        </w:rPr>
        <w:t>three way</w:t>
      </w:r>
      <w:proofErr w:type="gramEnd"/>
      <w:r w:rsidRPr="00674725">
        <w:rPr>
          <w:lang w:val="en-US"/>
        </w:rPr>
        <w:t xml:space="preserve"> system, the TCX118 may be driven passively or with bi-amplification to provide extremely high acoustic output. </w:t>
      </w:r>
    </w:p>
    <w:p w:rsidR="00E23E6F" w:rsidRPr="00462BEE" w:rsidRDefault="00E23E6F">
      <w:pPr>
        <w:rPr>
          <w:lang w:val="en-US"/>
        </w:rPr>
      </w:pPr>
    </w:p>
    <w:sectPr w:rsidR="00E23E6F" w:rsidRPr="00462BE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FA58A3"/>
    <w:multiLevelType w:val="multilevel"/>
    <w:tmpl w:val="74A65EB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 w15:restartNumberingAfterBreak="0">
    <w:nsid w:val="23A52300"/>
    <w:multiLevelType w:val="multilevel"/>
    <w:tmpl w:val="F3EA10E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58E22D19"/>
    <w:multiLevelType w:val="multilevel"/>
    <w:tmpl w:val="A46AED1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3" w15:restartNumberingAfterBreak="0">
    <w:nsid w:val="796A391F"/>
    <w:multiLevelType w:val="multilevel"/>
    <w:tmpl w:val="477A97A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BEE"/>
    <w:rsid w:val="00462BEE"/>
    <w:rsid w:val="00602FEE"/>
    <w:rsid w:val="00B84801"/>
    <w:rsid w:val="00DF5973"/>
    <w:rsid w:val="00E2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CB87E"/>
  <w15:chartTrackingRefBased/>
  <w15:docId w15:val="{56E5D0EF-96F7-406B-8F41-3AF7344E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body"/>
    <w:link w:val="Ttulo1Car"/>
    <w:rsid w:val="00462BEE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0"/>
    </w:pPr>
    <w:rPr>
      <w:rFonts w:ascii="Times New Roman" w:eastAsia="SimSun" w:hAnsi="Times New Roman" w:cs="Lucida Sans"/>
      <w:b/>
      <w:bCs/>
      <w:kern w:val="3"/>
      <w:sz w:val="48"/>
      <w:szCs w:val="48"/>
      <w:lang w:eastAsia="zh-CN" w:bidi="hi-IN"/>
    </w:rPr>
  </w:style>
  <w:style w:type="paragraph" w:styleId="Ttulo3">
    <w:name w:val="heading 3"/>
    <w:basedOn w:val="Normal"/>
    <w:next w:val="Textbody"/>
    <w:link w:val="Ttulo3Car"/>
    <w:rsid w:val="00462BEE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Times New Roman" w:eastAsia="SimSun" w:hAnsi="Times New Roman" w:cs="Lucida Sans"/>
      <w:b/>
      <w:bCs/>
      <w:kern w:val="3"/>
      <w:sz w:val="28"/>
      <w:szCs w:val="28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62BEE"/>
    <w:rPr>
      <w:rFonts w:ascii="Times New Roman" w:eastAsia="SimSun" w:hAnsi="Times New Roman" w:cs="Lucida Sans"/>
      <w:b/>
      <w:bCs/>
      <w:kern w:val="3"/>
      <w:sz w:val="48"/>
      <w:szCs w:val="48"/>
      <w:lang w:eastAsia="zh-CN" w:bidi="hi-IN"/>
    </w:rPr>
  </w:style>
  <w:style w:type="character" w:customStyle="1" w:styleId="Ttulo3Car">
    <w:name w:val="Título 3 Car"/>
    <w:basedOn w:val="Fuentedeprrafopredeter"/>
    <w:link w:val="Ttulo3"/>
    <w:rsid w:val="00462BEE"/>
    <w:rPr>
      <w:rFonts w:ascii="Times New Roman" w:eastAsia="SimSun" w:hAnsi="Times New Roman" w:cs="Lucida Sans"/>
      <w:b/>
      <w:bCs/>
      <w:kern w:val="3"/>
      <w:sz w:val="28"/>
      <w:szCs w:val="28"/>
      <w:lang w:eastAsia="zh-CN" w:bidi="hi-IN"/>
    </w:rPr>
  </w:style>
  <w:style w:type="paragraph" w:customStyle="1" w:styleId="Standard">
    <w:name w:val="Standard"/>
    <w:rsid w:val="00462BE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62BEE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clearsoundco.org/Products/Pictures/P1010472T3.jpg" TargetMode="External"/><Relationship Id="rId3" Type="http://schemas.openxmlformats.org/officeDocument/2006/relationships/settings" Target="settings.xml"/><Relationship Id="rId7" Type="http://schemas.openxmlformats.org/officeDocument/2006/relationships/image" Target="http://clearsoundco.org/Products/Pictures/P1010415T4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clearsoundco.org/Products/Pictures/MCX115-1.5_200_1.png" TargetMode="External"/><Relationship Id="rId5" Type="http://schemas.openxmlformats.org/officeDocument/2006/relationships/image" Target="http://clearsoundco.org/Products/Pictures/BP215MCX3.jp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230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G. T.</dc:creator>
  <cp:keywords/>
  <dc:description/>
  <cp:lastModifiedBy>Jorge G. T.</cp:lastModifiedBy>
  <cp:revision>1</cp:revision>
  <dcterms:created xsi:type="dcterms:W3CDTF">2018-02-06T11:37:00Z</dcterms:created>
  <dcterms:modified xsi:type="dcterms:W3CDTF">2018-02-06T11:38:00Z</dcterms:modified>
</cp:coreProperties>
</file>